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FE570F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color w:val="000000"/>
          <w:sz w:val="28"/>
          <w:szCs w:val="28"/>
          <w:lang w:val="ru-RU"/>
        </w:rPr>
      </w:pPr>
    </w:p>
    <w:p w:rsidR="00FE570F" w:rsidRPr="00FE570F" w:rsidRDefault="00FE570F" w:rsidP="00FE57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4FE1FC" wp14:editId="1D9D2AA9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eastAsia="uk-UA" w:bidi="uk-UA"/>
        </w:rPr>
        <w:t xml:space="preserve">     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FE570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FE570F" w:rsidRPr="00FE570F" w:rsidRDefault="00FE570F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FE570F" w:rsidRPr="00FE570F" w:rsidRDefault="00FE570F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                     2023р.                           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№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ru-RU" w:eastAsia="uk-UA" w:bidi="uk-UA"/>
        </w:rPr>
        <w:t>проєкт</w:t>
      </w:r>
      <w:proofErr w:type="spellEnd"/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605ACC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FE570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рр.</w:t>
      </w:r>
    </w:p>
    <w:p w:rsidR="00FE570F" w:rsidRPr="00FE570F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FE570F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FE570F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FE570F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D1C54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FD1C54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FD1C54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травня 2023 року, виклавши додатк</w:t>
      </w:r>
      <w:r w:rsidR="00857FC9">
        <w:rPr>
          <w:rFonts w:ascii="Times New Roman" w:eastAsia="Times New Roman" w:hAnsi="Times New Roman" w:cs="Times New Roman"/>
          <w:sz w:val="28"/>
          <w:lang w:eastAsia="uk-UA"/>
        </w:rPr>
        <w:t>и 1-3 в новій редакції, що додаю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>ться.</w:t>
      </w:r>
    </w:p>
    <w:p w:rsidR="00FE570F" w:rsidRPr="00FE570F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FE570F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3A112B" w:rsidRDefault="003A112B" w:rsidP="00FE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12B" w:rsidRDefault="003A112B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52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5F4DD4" w:rsidRDefault="00F35DC8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</w:t>
      </w:r>
      <w:r w:rsidR="003B034F">
        <w:rPr>
          <w:rFonts w:ascii="Times New Roman" w:hAnsi="Times New Roman" w:cs="Times New Roman"/>
          <w:sz w:val="24"/>
          <w:szCs w:val="24"/>
        </w:rPr>
        <w:t xml:space="preserve"> від </w:t>
      </w:r>
      <w:r w:rsidR="00857FC9">
        <w:rPr>
          <w:rFonts w:ascii="Times New Roman" w:hAnsi="Times New Roman" w:cs="Times New Roman"/>
          <w:sz w:val="24"/>
          <w:szCs w:val="24"/>
        </w:rPr>
        <w:t>______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5F4DD4" w:rsidRPr="00E8046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1 </w:t>
      </w:r>
    </w:p>
    <w:p w:rsidR="00520522" w:rsidRDefault="00520522" w:rsidP="00520522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520522" w:rsidRPr="008F4163" w:rsidRDefault="00520522" w:rsidP="00520522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520522" w:rsidRPr="00E80464" w:rsidRDefault="00520522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E80464">
        <w:rPr>
          <w:rFonts w:ascii="Times New Roman" w:hAnsi="Times New Roman" w:cs="Times New Roman"/>
          <w:b/>
          <w:sz w:val="36"/>
        </w:rPr>
        <w:t>Паспорт програми</w:t>
      </w:r>
      <w:r w:rsidRPr="00E80464">
        <w:rPr>
          <w:rFonts w:ascii="Times New Roman" w:hAnsi="Times New Roman" w:cs="Times New Roman"/>
          <w:b/>
        </w:rPr>
        <w:br/>
      </w:r>
      <w:r w:rsidRPr="00345761">
        <w:rPr>
          <w:rFonts w:ascii="Times New Roman" w:hAnsi="Times New Roman" w:cs="Times New Roman"/>
          <w:sz w:val="30"/>
        </w:rPr>
        <w:t>(загальна характеристика програми)</w:t>
      </w:r>
    </w:p>
    <w:p w:rsidR="005F4DD4" w:rsidRPr="00E80464" w:rsidRDefault="005F4DD4" w:rsidP="005F4DD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Програма підтримки та розвитку освіти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A30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Ініціатор розроблення програми 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Розробник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програми </w:t>
      </w:r>
    </w:p>
    <w:p w:rsidR="005F4DD4" w:rsidRPr="0007437E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Start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аклади</w:t>
      </w:r>
      <w:proofErr w:type="spellEnd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</w:t>
      </w: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Відповідальний виконавець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Учасники програми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F4DD4" w:rsidRPr="00E80464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аклади освіти</w:t>
      </w:r>
    </w:p>
    <w:p w:rsidR="005F4DD4" w:rsidRDefault="005F4DD4" w:rsidP="008F416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Термін реалізації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43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 w:rsidR="00BD3C93">
        <w:rPr>
          <w:rFonts w:ascii="Times New Roman" w:eastAsia="Times New Roman" w:hAnsi="Times New Roman" w:cs="Times New Roman"/>
          <w:sz w:val="28"/>
          <w:szCs w:val="28"/>
          <w:lang w:eastAsia="uk-UA"/>
        </w:rPr>
        <w:t>2023-2024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рр</w:t>
      </w:r>
      <w:r w:rsid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6FC7" w:rsidRPr="00E80464" w:rsidRDefault="00DA6FC7" w:rsidP="00DA6FC7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виконання програми</w:t>
      </w:r>
    </w:p>
    <w:p w:rsidR="005F4DD4" w:rsidRPr="00E80464" w:rsidRDefault="005F4DD4" w:rsidP="005F4DD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(для довгострокових програм)</w:t>
      </w:r>
    </w:p>
    <w:p w:rsidR="005F4DD4" w:rsidRPr="00536BFB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Загальний обсяг фінансових ресурсів,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для реалізації програми,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грн, всього </w:t>
      </w:r>
      <w:r w:rsid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888 8</w:t>
      </w:r>
      <w:r w:rsidR="00FE5845" w:rsidRPr="00FE5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</w:p>
    <w:p w:rsidR="005F4DD4" w:rsidRPr="00536BFB" w:rsidRDefault="005F4DD4" w:rsidP="005F4DD4">
      <w:pPr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числі: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місцевого бюджету</w:t>
      </w:r>
      <w:r w:rsidR="009757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5845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>867 361</w:t>
      </w:r>
      <w:r w:rsidR="009757F5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інших джерел (вказати) </w:t>
      </w:r>
      <w:r w:rsidR="00FE570F">
        <w:rPr>
          <w:rFonts w:ascii="Times New Roman" w:eastAsia="Times New Roman" w:hAnsi="Times New Roman" w:cs="Times New Roman"/>
          <w:sz w:val="28"/>
          <w:szCs w:val="28"/>
          <w:lang w:eastAsia="uk-UA"/>
        </w:rPr>
        <w:t>– 21 5</w:t>
      </w:r>
      <w:r w:rsidR="00692430">
        <w:rPr>
          <w:rFonts w:ascii="Times New Roman" w:eastAsia="Times New Roman" w:hAnsi="Times New Roman" w:cs="Times New Roman"/>
          <w:sz w:val="28"/>
          <w:szCs w:val="28"/>
          <w:lang w:eastAsia="uk-UA"/>
        </w:rPr>
        <w:t>00 грн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Pr="00062B87" w:rsidRDefault="0007437E" w:rsidP="00074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520522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062B87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62B87" w:rsidRPr="0007437E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062B87" w:rsidRDefault="00062B87" w:rsidP="0065793F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7437E" w:rsidRPr="0007437E" w:rsidRDefault="00520522" w:rsidP="0052052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7437E" w:rsidRPr="00605ACC" w:rsidRDefault="0007437E">
      <w:pPr>
        <w:rPr>
          <w:b/>
        </w:rPr>
        <w:sectPr w:rsidR="0007437E" w:rsidRPr="00605ACC" w:rsidSect="002E2A67">
          <w:pgSz w:w="11906" w:h="16838"/>
          <w:pgMar w:top="284" w:right="991" w:bottom="567" w:left="1276" w:header="708" w:footer="708" w:gutter="0"/>
          <w:cols w:space="708"/>
          <w:docGrid w:linePitch="360"/>
        </w:sectPr>
      </w:pP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8F4163" w:rsidRPr="008F4163" w:rsidRDefault="00F35DC8" w:rsidP="00F35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3A112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3A112B">
        <w:rPr>
          <w:rFonts w:ascii="Times New Roman" w:hAnsi="Times New Roman" w:cs="Times New Roman"/>
          <w:sz w:val="24"/>
          <w:szCs w:val="24"/>
        </w:rPr>
        <w:t xml:space="preserve">  від</w:t>
      </w:r>
      <w:r w:rsidR="00857FC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8F4163">
        <w:rPr>
          <w:rFonts w:ascii="Times New Roman" w:hAnsi="Times New Roman" w:cs="Times New Roman"/>
          <w:sz w:val="24"/>
          <w:szCs w:val="24"/>
        </w:rPr>
        <w:t>р.</w:t>
      </w:r>
      <w:r w:rsidR="0007437E" w:rsidRPr="00E80464">
        <w:rPr>
          <w:rFonts w:ascii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</w:t>
      </w:r>
    </w:p>
    <w:p w:rsidR="008F4163" w:rsidRDefault="0007437E" w:rsidP="008F4163">
      <w:pPr>
        <w:spacing w:after="0"/>
        <w:ind w:left="567"/>
        <w:jc w:val="right"/>
        <w:rPr>
          <w:rFonts w:ascii="Times New Roman" w:hAnsi="Times New Roman" w:cs="Times New Roman"/>
          <w:b/>
          <w:sz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 xml:space="preserve">  </w:t>
      </w:r>
    </w:p>
    <w:p w:rsidR="008F4163" w:rsidRDefault="008F4163" w:rsidP="008F416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8F4163" w:rsidP="008F416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 w:rsid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8F4163" w:rsidRPr="008F4163" w:rsidRDefault="00D57EC6" w:rsidP="008F416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8F4163" w:rsidRDefault="008F4163" w:rsidP="0007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</w:p>
    <w:p w:rsidR="0007437E" w:rsidRPr="00E80464" w:rsidRDefault="0007437E" w:rsidP="008F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>Ресурсне забезпечення</w:t>
      </w:r>
      <w:r w:rsidR="00062B87">
        <w:rPr>
          <w:rFonts w:ascii="Times New Roman" w:hAnsi="Times New Roman" w:cs="Times New Roman"/>
          <w:b/>
          <w:sz w:val="28"/>
          <w:lang w:eastAsia="uk-UA"/>
        </w:rPr>
        <w:t xml:space="preserve"> місцевої цільової програми</w:t>
      </w:r>
    </w:p>
    <w:p w:rsidR="0007437E" w:rsidRPr="00E80464" w:rsidRDefault="00443F7F" w:rsidP="008F4163">
      <w:pPr>
        <w:ind w:left="56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освіти </w:t>
      </w:r>
      <w:proofErr w:type="spellStart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 w:rsidR="00074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07437E" w:rsidRPr="00E80464" w:rsidRDefault="0007437E" w:rsidP="0007437E">
      <w:pPr>
        <w:autoSpaceDE w:val="0"/>
        <w:autoSpaceDN w:val="0"/>
        <w:adjustRightInd w:val="0"/>
        <w:ind w:left="13910"/>
        <w:rPr>
          <w:rFonts w:ascii="Times New Roman" w:hAnsi="Times New Roman" w:cs="Times New Roman"/>
          <w:sz w:val="24"/>
          <w:lang w:eastAsia="uk-UA"/>
        </w:rPr>
      </w:pPr>
      <w:r w:rsidRPr="00E80464">
        <w:rPr>
          <w:rFonts w:ascii="Times New Roman" w:hAnsi="Times New Roman" w:cs="Times New Roman"/>
          <w:sz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07437E" w:rsidRPr="00E80464" w:rsidTr="00213303">
        <w:trPr>
          <w:cantSplit/>
          <w:trHeight w:val="871"/>
        </w:trPr>
        <w:tc>
          <w:tcPr>
            <w:tcW w:w="533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2023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  <w:r w:rsidRPr="009757F5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2E2A67" w:rsidRPr="00336829" w:rsidRDefault="00FE570F" w:rsidP="00CD7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888 8</w:t>
            </w:r>
            <w:r w:rsidR="00FE5845"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FE570F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888 861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2E2A67" w:rsidRPr="00336829" w:rsidRDefault="00FE5845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FE584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E2A67" w:rsidRPr="00336829" w:rsidRDefault="00FE570F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21 5</w:t>
            </w:r>
            <w:r w:rsidR="00692430"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FE570F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21 500</w:t>
            </w:r>
          </w:p>
        </w:tc>
      </w:tr>
    </w:tbl>
    <w:p w:rsidR="0007437E" w:rsidRPr="00E80464" w:rsidRDefault="008F4163" w:rsidP="008F41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uk-UA"/>
        </w:rPr>
      </w:pPr>
      <w:r>
        <w:rPr>
          <w:rFonts w:ascii="Times New Roman" w:hAnsi="Times New Roman" w:cs="Times New Roman"/>
          <w:sz w:val="24"/>
          <w:lang w:eastAsia="uk-UA"/>
        </w:rPr>
        <w:t xml:space="preserve">       </w:t>
      </w:r>
      <w:r w:rsidR="0007437E" w:rsidRPr="00E80464">
        <w:rPr>
          <w:rFonts w:ascii="Times New Roman" w:hAnsi="Times New Roman" w:cs="Times New Roman"/>
          <w:sz w:val="24"/>
          <w:lang w:eastAsia="uk-UA"/>
        </w:rPr>
        <w:t>*кожний бюджет та кожне джерело вказується окремо</w:t>
      </w:r>
    </w:p>
    <w:p w:rsidR="0007437E" w:rsidRDefault="0007437E" w:rsidP="0007437E">
      <w:pPr>
        <w:rPr>
          <w:rFonts w:ascii="Times New Roman" w:hAnsi="Times New Roman" w:cs="Times New Roman"/>
          <w:sz w:val="20"/>
          <w:szCs w:val="20"/>
        </w:rPr>
      </w:pP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розпорядник  коштів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07437E" w:rsidRPr="00520522" w:rsidRDefault="00835FB2" w:rsidP="00520522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Марія ГРЕМЕНТА</w:t>
      </w: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07437E" w:rsidRDefault="0007437E" w:rsidP="0007437E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Відповідальний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програми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980C01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Начальник                                                                                Марія ГРЕМЕНТА</w:t>
      </w: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0"/>
          <w:szCs w:val="20"/>
        </w:rPr>
      </w:pPr>
    </w:p>
    <w:p w:rsidR="00980C01" w:rsidRPr="00520522" w:rsidRDefault="00980C01" w:rsidP="009757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57F5" w:rsidRDefault="009757F5" w:rsidP="009757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605AC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605AC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Default="00857FC9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від _______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7D285A" w:rsidRPr="00605AC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8F4163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397DCA"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605AC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05AC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8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605A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605AC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1307A1" w:rsidRPr="001307A1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07A1" w:rsidRPr="001307A1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9757F5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9757F5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9757F5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5629B0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5629B0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45761" w:rsidRPr="00536BFB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9757F5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407" w:rsidRPr="004E5407">
              <w:rPr>
                <w:rFonts w:ascii="Times New Roman" w:hAnsi="Times New Roman" w:cs="Times New Roman"/>
                <w:sz w:val="24"/>
                <w:szCs w:val="24"/>
              </w:rPr>
              <w:t xml:space="preserve">огашення кредиторської заборгованості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443F7F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9757F5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544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Pr="009757F5" w:rsidRDefault="00A2223D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С.Ба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ндери, 2</w:t>
            </w:r>
          </w:p>
        </w:tc>
        <w:tc>
          <w:tcPr>
            <w:tcW w:w="1843" w:type="dxa"/>
          </w:tcPr>
          <w:p w:rsidR="00A2223D" w:rsidRPr="009757F5" w:rsidRDefault="00A2223D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353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9757F5" w:rsidRDefault="00A2223D" w:rsidP="00C02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генераторів для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843" w:type="dxa"/>
          </w:tcPr>
          <w:p w:rsidR="00A2223D" w:rsidRPr="009757F5" w:rsidRDefault="00A2223D" w:rsidP="00E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9757F5" w:rsidRDefault="00A2223D" w:rsidP="004E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із з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A2223D" w:rsidRPr="00BB457E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Pr="00906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9757F5">
              <w:rPr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835FB2">
        <w:trPr>
          <w:cantSplit/>
          <w:trHeight w:val="852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A2223D" w:rsidRPr="00835FB2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 в умовах воєнного стану.</w:t>
            </w:r>
          </w:p>
        </w:tc>
        <w:tc>
          <w:tcPr>
            <w:tcW w:w="4111" w:type="dxa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A2223D" w:rsidRPr="00BC40B5" w:rsidRDefault="00146265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A2223D" w:rsidRPr="00BC40B5">
              <w:rPr>
                <w:rFonts w:ascii="Times New Roman" w:hAnsi="Times New Roman" w:cs="Times New Roman"/>
                <w:sz w:val="24"/>
                <w:szCs w:val="24"/>
              </w:rPr>
              <w:t>снащення класів безпеки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4D5">
              <w:rPr>
                <w:rFonts w:ascii="Times New Roman" w:hAnsi="Times New Roman" w:cs="Times New Roman"/>
                <w:sz w:val="24"/>
                <w:szCs w:val="24"/>
              </w:rPr>
              <w:t>необхідного обладнання, інвентаря,  меблів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835FB2">
        <w:trPr>
          <w:cantSplit/>
          <w:trHeight w:val="1272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4A748B" w:rsidRDefault="00A2223D" w:rsidP="004A7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A2223D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добровільного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об'єднання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дружини юних рятувальників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-пожежників, з метою виховання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мужності, благородства, фізичної загартованості та пожежно-технічної професійної орієнтації</w:t>
            </w:r>
          </w:p>
        </w:tc>
        <w:tc>
          <w:tcPr>
            <w:tcW w:w="4111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необхідного інвентарю, обладнання</w:t>
            </w:r>
            <w:r w:rsidR="000C248F">
              <w:rPr>
                <w:rFonts w:ascii="Times New Roman" w:hAnsi="Times New Roman" w:cs="Times New Roman"/>
                <w:sz w:val="24"/>
                <w:szCs w:val="24"/>
              </w:rPr>
              <w:t>, інформаційних стендів, придбання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костюмів,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з метою участі в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маганнях з пожежно-прик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ладного спорту, конкурсах, олімпіадах, вікто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ринах, кінолекторіях на протипожежну тематику;              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відвідування пожежно-технічних училищ, обласних центрів пожежно-технічної пропаганди, 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авок і пам'ятних місць, які роз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12B" w:rsidRPr="00536BFB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3A112B" w:rsidRPr="009757F5" w:rsidRDefault="003A112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в, виховних заходів, тренінгів, для дітей,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учнівської молоді, дітей з числа ВПО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>, працівн</w:t>
            </w:r>
            <w:r w:rsidR="00FE5845">
              <w:rPr>
                <w:rFonts w:ascii="Times New Roman" w:hAnsi="Times New Roman" w:cs="Times New Roman"/>
                <w:sz w:val="24"/>
                <w:szCs w:val="24"/>
              </w:rPr>
              <w:t xml:space="preserve">иків закладів освіти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метою  формування знання і вміння  щодо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складових безпеки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протидії кіберзлочинності, різним формам насильства та новим видам торгівлі,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адаптації до нових умов життя  у зв’язку з переїздом та війною, стійкості до психологічних та соціальни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х змін, кризи комунікації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3A112B" w:rsidRPr="00443F7F" w:rsidRDefault="003A112B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, Служба у справах дітей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«Центр надання соціальних послуг»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B21">
              <w:rPr>
                <w:rFonts w:ascii="Times New Roman" w:hAnsi="Times New Roman" w:cs="Times New Roman"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переадресація, допомога та протидія різним формам насильства,  торгівлі людьми та кіберзлочинності,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FD10FC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FD10FC" w:rsidRPr="009757F5" w:rsidRDefault="00FD10FC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FD10FC" w:rsidRPr="009757F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FD10FC" w:rsidRPr="00835FB2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6B65B5">
              <w:rPr>
                <w:rFonts w:ascii="Times New Roman" w:hAnsi="Times New Roman" w:cs="Times New Roman"/>
                <w:sz w:val="24"/>
                <w:szCs w:val="24"/>
              </w:rPr>
              <w:t xml:space="preserve">  класу предмета «Захист України»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 стане центром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учнів, учителів, батьків правил безпечної поведінк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стану.</w:t>
            </w:r>
          </w:p>
        </w:tc>
        <w:tc>
          <w:tcPr>
            <w:tcW w:w="4111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FD10FC" w:rsidRPr="00BC40B5" w:rsidRDefault="00CC44D5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снащення класу предмета «Захист України»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обладнання, інвентарю,  меблів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FD10FC" w:rsidRPr="00443F7F" w:rsidRDefault="00FD10FC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FD10FC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здоров’я</w:t>
            </w:r>
            <w:r w:rsidR="00857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85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6B65B5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6B65B5" w:rsidRPr="006B65B5" w:rsidRDefault="006B65B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B65B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CC44D5" w:rsidRPr="009757F5" w:rsidRDefault="00CC44D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</w:t>
            </w: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 xml:space="preserve"> батьківського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  <w:p w:rsidR="006B65B5" w:rsidRPr="009757F5" w:rsidRDefault="006B65B5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6B65B5" w:rsidRPr="009757F5" w:rsidRDefault="00CC44D5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6B65B5" w:rsidRPr="00443F7F" w:rsidRDefault="006B65B5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10 8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6B65B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отримання допомоги</w:t>
            </w:r>
          </w:p>
        </w:tc>
      </w:tr>
      <w:tr w:rsidR="00381858" w:rsidRPr="00536BFB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381858" w:rsidRPr="006B65B5" w:rsidRDefault="0069243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EC46F4" w:rsidRPr="00EC46F4" w:rsidRDefault="00CC44D5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Комплексної програми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ській області на 2023-2026 роки, затвердженої розпорядження</w:t>
            </w:r>
            <w:r w:rsidR="007803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обласн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 від 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>22.02.2023 №78/0/5-23ВА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66613E" w:rsidRP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3E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плата транспортних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послуг (витрат на пальне) для від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Pr="0066613E" w:rsidRDefault="0066613E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66613E" w:rsidRDefault="00EC46F4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квитків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 xml:space="preserve"> для від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FE570F" w:rsidRPr="00692430" w:rsidRDefault="00FE570F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858" w:rsidRPr="00443F7F" w:rsidRDefault="00381858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81858" w:rsidRPr="009757F5" w:rsidRDefault="00381858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2430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b/>
                <w:sz w:val="24"/>
                <w:szCs w:val="24"/>
              </w:rPr>
              <w:t>бласний бюджет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FE570F" w:rsidRPr="009757F5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P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570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FE570F" w:rsidRDefault="00FE570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70F" w:rsidRDefault="00FE570F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81858" w:rsidRPr="006B65B5" w:rsidRDefault="00DB79A6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конкретних культурних, освітніх, наукових, науково-практичних та </w:t>
            </w:r>
            <w:proofErr w:type="spellStart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5360B8" w:rsidRPr="00536BFB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5360B8" w:rsidRDefault="005360B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A9256E" w:rsidRDefault="00A9256E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5360B8" w:rsidRPr="00ED750F" w:rsidRDefault="00A9256E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ідтримка здібних, обдарованих і талановитих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 w:rsidR="004C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 xml:space="preserve">на реалізацію </w:t>
            </w:r>
            <w:r w:rsidR="004C17CC" w:rsidRPr="004C17CC">
              <w:rPr>
                <w:rFonts w:ascii="Times New Roman" w:hAnsi="Times New Roman" w:cs="Times New Roman"/>
                <w:sz w:val="24"/>
                <w:szCs w:val="24"/>
              </w:rPr>
              <w:t>Програми роз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витку освіти Львівської області на 2021-2025 роки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затвердженої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обласної ради від 18.02.2021 №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5360B8" w:rsidRPr="00B91EB1" w:rsidRDefault="00B91EB1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квитків для </w:t>
            </w:r>
            <w:r w:rsidR="005360B8"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обдарованими учнями Музею науки  м. Львова</w:t>
            </w:r>
          </w:p>
          <w:p w:rsidR="005360B8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B8" w:rsidRPr="0066613E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0B8" w:rsidRPr="00443F7F" w:rsidRDefault="005360B8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5360B8" w:rsidRPr="00443F7F" w:rsidRDefault="005360B8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5360B8" w:rsidRDefault="005360B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3303A9" w:rsidRDefault="00A9256E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соціально-педагогічної підтримки обдарованості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3A9" w:rsidRPr="003303A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="003303A9" w:rsidRPr="003303A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>сприяння розвитку в учнів</w:t>
            </w:r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 ключових </w:t>
            </w:r>
            <w:proofErr w:type="spellStart"/>
            <w:r w:rsidR="00B91EB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</w:t>
            </w:r>
            <w:r w:rsidR="003303A9">
              <w:rPr>
                <w:rFonts w:ascii="Times New Roman" w:hAnsi="Times New Roman" w:cs="Times New Roman"/>
                <w:sz w:val="24"/>
                <w:szCs w:val="24"/>
              </w:rPr>
              <w:t xml:space="preserve">мислення, </w:t>
            </w:r>
            <w:r w:rsid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заохочення</w:t>
            </w:r>
            <w:r w:rsidR="003303A9" w:rsidRP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до вивчення новітніх технологій шляхом відвідування Музею науки.</w:t>
            </w:r>
            <w:r w:rsidR="003303A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381858" w:rsidRPr="00536BFB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1858" w:rsidRDefault="00CF52DA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888 8</w:t>
            </w:r>
            <w:r w:rsidR="00FE5845" w:rsidRPr="00FE584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81858" w:rsidRPr="009757F5" w:rsidRDefault="00381858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520522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520522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="0065793F"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520522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520522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605ACC" w:rsidRPr="00520522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54159"/>
    <w:rsid w:val="00062B87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6265"/>
    <w:rsid w:val="00152121"/>
    <w:rsid w:val="0015285B"/>
    <w:rsid w:val="001749B7"/>
    <w:rsid w:val="0018749E"/>
    <w:rsid w:val="00192D0C"/>
    <w:rsid w:val="001A7093"/>
    <w:rsid w:val="001C0E98"/>
    <w:rsid w:val="001C3F91"/>
    <w:rsid w:val="001E7C2C"/>
    <w:rsid w:val="00213303"/>
    <w:rsid w:val="002140CE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11474"/>
    <w:rsid w:val="00416788"/>
    <w:rsid w:val="00424DC1"/>
    <w:rsid w:val="00434728"/>
    <w:rsid w:val="00443F7F"/>
    <w:rsid w:val="00471AF5"/>
    <w:rsid w:val="00476E69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50C6"/>
    <w:rsid w:val="00692430"/>
    <w:rsid w:val="006A1111"/>
    <w:rsid w:val="006A7671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57FC9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21CB9"/>
    <w:rsid w:val="00A2223D"/>
    <w:rsid w:val="00A30294"/>
    <w:rsid w:val="00A4529E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44D5"/>
    <w:rsid w:val="00CC5369"/>
    <w:rsid w:val="00CD79F5"/>
    <w:rsid w:val="00CF1EF3"/>
    <w:rsid w:val="00CF4F44"/>
    <w:rsid w:val="00CF52DA"/>
    <w:rsid w:val="00D1075A"/>
    <w:rsid w:val="00D10A7C"/>
    <w:rsid w:val="00D24B67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D3F5-D637-4CC4-B05E-FB84C7FC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9306</Words>
  <Characters>5305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15</cp:revision>
  <cp:lastPrinted>2023-02-08T06:58:00Z</cp:lastPrinted>
  <dcterms:created xsi:type="dcterms:W3CDTF">2023-05-18T14:48:00Z</dcterms:created>
  <dcterms:modified xsi:type="dcterms:W3CDTF">2023-07-13T06:41:00Z</dcterms:modified>
</cp:coreProperties>
</file>