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E257C">
        <w:rPr>
          <w:rFonts w:ascii="Times New Roman" w:eastAsia="Calibri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8EF29BC" wp14:editId="7A20C7C4">
            <wp:extent cx="425450" cy="5956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БЕЛЗЬКА </w:t>
      </w: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МІСЬКА  РАДА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чергова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сесія</w:t>
      </w:r>
      <w:proofErr w:type="spell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</w:t>
      </w:r>
      <w:r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скликання</w:t>
      </w:r>
      <w:proofErr w:type="spellEnd"/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 І Ш Е Н </w:t>
      </w:r>
      <w:proofErr w:type="spellStart"/>
      <w:proofErr w:type="gram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proofErr w:type="spellEnd"/>
      <w:proofErr w:type="gram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</w:t>
      </w: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  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  </w:t>
      </w:r>
      <w:r w:rsidR="00CF7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2023 року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м.Бе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>лз</w:t>
      </w:r>
      <w:proofErr w:type="spellEnd"/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№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i/>
          <w:sz w:val="28"/>
        </w:rPr>
        <w:t xml:space="preserve">           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DC69FE" w:rsidP="0049435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1F318A">
        <w:rPr>
          <w:rFonts w:ascii="Times New Roman" w:eastAsia="Times New Roman" w:hAnsi="Times New Roman" w:cs="Times New Roman"/>
          <w:sz w:val="28"/>
        </w:rPr>
        <w:t>додатки 1-3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C26007" w:rsidP="005661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DC69FE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DC69FE">
        <w:rPr>
          <w:rFonts w:ascii="Times New Roman" w:eastAsia="Times New Roman" w:hAnsi="Times New Roman" w:cs="Times New Roman"/>
          <w:b/>
          <w:sz w:val="32"/>
        </w:rPr>
        <w:t xml:space="preserve">Міський голова                               </w:t>
      </w:r>
      <w:r w:rsidR="00C61E4F" w:rsidRPr="00DC69FE">
        <w:rPr>
          <w:rFonts w:ascii="Times New Roman" w:eastAsia="Times New Roman" w:hAnsi="Times New Roman" w:cs="Times New Roman"/>
          <w:b/>
          <w:sz w:val="32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Default="001F318A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рішенням сесії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     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2023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Pr="00815203" w:rsidRDefault="001F318A" w:rsidP="001F318A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815203">
        <w:rPr>
          <w:rFonts w:ascii="Times New Roman" w:eastAsia="Calibri" w:hAnsi="Times New Roman" w:cs="Times New Roman"/>
          <w:b/>
          <w:lang w:eastAsia="en-US"/>
        </w:rPr>
        <w:br/>
      </w:r>
      <w:r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2023 р.</w:t>
      </w:r>
    </w:p>
    <w:p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ї програми, 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грн, всього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993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</w:p>
    <w:p w:rsidR="001F318A" w:rsidRPr="00815203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993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F318A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E4274">
        <w:rPr>
          <w:rFonts w:eastAsia="Calibri"/>
          <w:sz w:val="28"/>
          <w:szCs w:val="28"/>
        </w:rPr>
        <w:t xml:space="preserve">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7D70FC" w:rsidRPr="00815203" w:rsidRDefault="007D70FC" w:rsidP="000F78F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         від            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на 2023 рік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967C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547EE4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Default="001F318A">
            <w:r w:rsidRPr="00967C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2 993 000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Default="001F318A" w:rsidP="001F318A">
      <w:pPr>
        <w:spacing w:after="0" w:line="240" w:lineRule="auto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eastAsia="Calibri"/>
          <w:sz w:val="28"/>
          <w:szCs w:val="28"/>
        </w:rPr>
        <w:t xml:space="preserve">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Default="001F318A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1837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 w:rsidR="001837B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1 626 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поточного ремонту дорожнього покриття вулиць населених пунктів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Заготівля і складування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протиожеледних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матеріалів, хімічних реагентів.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1F318A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майданчиків, малих архітектурних споруд.</w:t>
            </w:r>
          </w:p>
          <w:p w:rsidR="00A86557" w:rsidRPr="00600108" w:rsidRDefault="00A86557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-сервіс»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F318A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F318A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1F318A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2 993 000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815203" w:rsidRDefault="000F78FD" w:rsidP="000F78FD">
      <w:pPr>
        <w:autoSpaceDE w:val="0"/>
        <w:autoSpaceDN w:val="0"/>
        <w:adjustRightInd w:val="0"/>
        <w:spacing w:after="160" w:line="256" w:lineRule="auto"/>
        <w:ind w:firstLine="3751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Оксана БЕРЕЗА</w:t>
      </w:r>
    </w:p>
    <w:p w:rsidR="007D70FC" w:rsidRPr="00815203" w:rsidRDefault="007D70FC" w:rsidP="000F78FD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E7" w:rsidRDefault="001940E7" w:rsidP="00B35A8F">
      <w:pPr>
        <w:spacing w:after="0" w:line="240" w:lineRule="auto"/>
      </w:pPr>
      <w:r>
        <w:separator/>
      </w:r>
    </w:p>
  </w:endnote>
  <w:endnote w:type="continuationSeparator" w:id="0">
    <w:p w:rsidR="001940E7" w:rsidRDefault="001940E7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E7" w:rsidRDefault="001940E7" w:rsidP="00B35A8F">
      <w:pPr>
        <w:spacing w:after="0" w:line="240" w:lineRule="auto"/>
      </w:pPr>
      <w:r>
        <w:separator/>
      </w:r>
    </w:p>
  </w:footnote>
  <w:footnote w:type="continuationSeparator" w:id="0">
    <w:p w:rsidR="001940E7" w:rsidRDefault="001940E7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61DEB"/>
    <w:rsid w:val="00072732"/>
    <w:rsid w:val="000A7747"/>
    <w:rsid w:val="000B6692"/>
    <w:rsid w:val="000E2226"/>
    <w:rsid w:val="000E48EC"/>
    <w:rsid w:val="000F3CBF"/>
    <w:rsid w:val="000F78FD"/>
    <w:rsid w:val="0010072C"/>
    <w:rsid w:val="001264EC"/>
    <w:rsid w:val="00135638"/>
    <w:rsid w:val="001837BB"/>
    <w:rsid w:val="001940E7"/>
    <w:rsid w:val="001A6E6C"/>
    <w:rsid w:val="001C4606"/>
    <w:rsid w:val="001F318A"/>
    <w:rsid w:val="0022599E"/>
    <w:rsid w:val="002321AD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F73B0"/>
    <w:rsid w:val="00600108"/>
    <w:rsid w:val="00604E27"/>
    <w:rsid w:val="0060521B"/>
    <w:rsid w:val="00605473"/>
    <w:rsid w:val="0061787F"/>
    <w:rsid w:val="00665A26"/>
    <w:rsid w:val="00680616"/>
    <w:rsid w:val="00683DD6"/>
    <w:rsid w:val="006973A7"/>
    <w:rsid w:val="006B4473"/>
    <w:rsid w:val="007122F1"/>
    <w:rsid w:val="00726431"/>
    <w:rsid w:val="0073389F"/>
    <w:rsid w:val="00743E49"/>
    <w:rsid w:val="00773E60"/>
    <w:rsid w:val="007817A0"/>
    <w:rsid w:val="0079107E"/>
    <w:rsid w:val="00791EA0"/>
    <w:rsid w:val="00797BAF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B153F"/>
    <w:rsid w:val="008B52A8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A0CC4"/>
    <w:rsid w:val="00BA7B57"/>
    <w:rsid w:val="00BB4304"/>
    <w:rsid w:val="00BB4684"/>
    <w:rsid w:val="00BD6EE1"/>
    <w:rsid w:val="00C26007"/>
    <w:rsid w:val="00C44ECA"/>
    <w:rsid w:val="00C4541D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23085"/>
    <w:rsid w:val="00E3341E"/>
    <w:rsid w:val="00E33534"/>
    <w:rsid w:val="00E679B0"/>
    <w:rsid w:val="00E70E8B"/>
    <w:rsid w:val="00E7224D"/>
    <w:rsid w:val="00E72B35"/>
    <w:rsid w:val="00E75CA5"/>
    <w:rsid w:val="00EA296C"/>
    <w:rsid w:val="00EA73F7"/>
    <w:rsid w:val="00F00796"/>
    <w:rsid w:val="00F11899"/>
    <w:rsid w:val="00F25B29"/>
    <w:rsid w:val="00F3284C"/>
    <w:rsid w:val="00F556FC"/>
    <w:rsid w:val="00F60700"/>
    <w:rsid w:val="00F72D2C"/>
    <w:rsid w:val="00F94DA2"/>
    <w:rsid w:val="00FA6B84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246E-725D-4740-B4EC-94EE07F5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4</cp:revision>
  <cp:lastPrinted>2023-05-12T09:33:00Z</cp:lastPrinted>
  <dcterms:created xsi:type="dcterms:W3CDTF">2023-09-15T12:20:00Z</dcterms:created>
  <dcterms:modified xsi:type="dcterms:W3CDTF">2023-09-15T13:18:00Z</dcterms:modified>
</cp:coreProperties>
</file>