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95" w:rsidRPr="007A6D95" w:rsidRDefault="007A6D95" w:rsidP="007A6D9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7A6D95">
        <w:rPr>
          <w:rFonts w:ascii="Times New Roman" w:eastAsia="Calibri" w:hAnsi="Times New Roman" w:cs="Times New Roman"/>
          <w:noProof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95" w:rsidRPr="007A6D95" w:rsidRDefault="007A6D95" w:rsidP="007A6D9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A6D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БЕЛЗЬКА МІСЬКА  РАДА</w:t>
      </w:r>
    </w:p>
    <w:p w:rsidR="007A6D95" w:rsidRPr="007A6D95" w:rsidRDefault="007A6D95" w:rsidP="007A6D9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A6D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7A6D95" w:rsidRPr="007A6D95" w:rsidRDefault="005E5D01" w:rsidP="007A6D9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 </w:t>
      </w:r>
      <w:r w:rsidR="007A6D95"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чергова сесія   </w:t>
      </w:r>
      <w:r w:rsidR="007A6D95" w:rsidRPr="007A6D9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="007A6D95"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="007A6D95" w:rsidRPr="007A6D9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7A6D95"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скликання</w:t>
      </w:r>
    </w:p>
    <w:p w:rsidR="007A6D95" w:rsidRPr="007A6D95" w:rsidRDefault="007A6D95" w:rsidP="007A6D9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 І Ш Е Н </w:t>
      </w:r>
      <w:proofErr w:type="spellStart"/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spellEnd"/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</w:t>
      </w:r>
    </w:p>
    <w:p w:rsidR="007A6D95" w:rsidRPr="007A6D95" w:rsidRDefault="007A6D95" w:rsidP="007A6D9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6D95" w:rsidRPr="007A6D95" w:rsidRDefault="005E5D01" w:rsidP="007A6D9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листопада</w:t>
      </w:r>
      <w:r w:rsidR="007A6D95"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2023 року</w:t>
      </w:r>
      <w:r w:rsidR="007A6D95"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</w:t>
      </w:r>
      <w:proofErr w:type="spellStart"/>
      <w:r w:rsidR="007A6D95"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>м.Белз</w:t>
      </w:r>
      <w:proofErr w:type="spellEnd"/>
      <w:r w:rsidR="007A6D95"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A6D95"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</w:p>
    <w:p w:rsidR="007A6D95" w:rsidRDefault="007A6D95" w:rsidP="007A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DC69FE">
        <w:rPr>
          <w:rFonts w:ascii="Times New Roman" w:eastAsia="Times New Roman" w:hAnsi="Times New Roman" w:cs="Times New Roman"/>
          <w:b/>
          <w:sz w:val="28"/>
        </w:rPr>
        <w:t xml:space="preserve">внесення 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:rsidR="0060521B" w:rsidRPr="00815203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</w:p>
    <w:p w:rsidR="0093175B" w:rsidRPr="00815203" w:rsidRDefault="0079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на 2023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15203" w:rsidRDefault="00C2600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 xml:space="preserve"> ВИРІШИЛА:</w:t>
      </w:r>
    </w:p>
    <w:p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B153F" w:rsidRDefault="007A6D95" w:rsidP="007A6D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Програму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91EA0" w:rsidRPr="008B153F">
        <w:rPr>
          <w:rFonts w:ascii="Times New Roman" w:eastAsia="Times New Roman" w:hAnsi="Times New Roman" w:cs="Times New Roman"/>
          <w:sz w:val="28"/>
        </w:rPr>
        <w:t>на 2023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, затверджену рішенням </w:t>
      </w:r>
      <w:proofErr w:type="spellStart"/>
      <w:r w:rsidR="00DC69FE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DC69FE" w:rsidRPr="008B153F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</w:t>
      </w:r>
      <w:r w:rsidR="00E3341E" w:rsidRPr="008B153F">
        <w:rPr>
          <w:rFonts w:ascii="Times New Roman" w:eastAsia="Times New Roman" w:hAnsi="Times New Roman" w:cs="Times New Roman"/>
          <w:sz w:val="28"/>
        </w:rPr>
        <w:t>714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від </w:t>
      </w:r>
      <w:r w:rsidR="00E3341E" w:rsidRPr="008B153F">
        <w:rPr>
          <w:rFonts w:ascii="Times New Roman" w:eastAsia="Times New Roman" w:hAnsi="Times New Roman" w:cs="Times New Roman"/>
          <w:sz w:val="28"/>
        </w:rPr>
        <w:t>30 листопада 2022 року</w:t>
      </w:r>
      <w:r w:rsidR="00DC69FE" w:rsidRPr="008B153F">
        <w:rPr>
          <w:rFonts w:ascii="Times New Roman" w:eastAsia="Times New Roman" w:hAnsi="Times New Roman" w:cs="Times New Roman"/>
          <w:sz w:val="28"/>
        </w:rPr>
        <w:t>,</w:t>
      </w:r>
      <w:r w:rsid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>в</w:t>
      </w:r>
      <w:r w:rsidR="008B153F">
        <w:rPr>
          <w:rFonts w:ascii="Times New Roman" w:eastAsia="Times New Roman" w:hAnsi="Times New Roman" w:cs="Times New Roman"/>
          <w:sz w:val="28"/>
        </w:rPr>
        <w:t>иклавши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F36614">
        <w:rPr>
          <w:rFonts w:ascii="Times New Roman" w:eastAsia="Times New Roman" w:hAnsi="Times New Roman" w:cs="Times New Roman"/>
          <w:sz w:val="28"/>
        </w:rPr>
        <w:t>паспорт та додатки 1-2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280444" w:rsidRPr="008B153F">
        <w:rPr>
          <w:rFonts w:ascii="Times New Roman" w:eastAsia="Times New Roman" w:hAnsi="Times New Roman" w:cs="Times New Roman"/>
          <w:sz w:val="28"/>
        </w:rPr>
        <w:t xml:space="preserve">до Програми </w:t>
      </w:r>
      <w:r w:rsidR="00DC69FE" w:rsidRPr="008B153F">
        <w:rPr>
          <w:rFonts w:ascii="Times New Roman" w:eastAsia="Times New Roman" w:hAnsi="Times New Roman" w:cs="Times New Roman"/>
          <w:sz w:val="28"/>
        </w:rPr>
        <w:t>в новій редакції, що додається.</w:t>
      </w:r>
    </w:p>
    <w:p w:rsidR="0093175B" w:rsidRPr="00815203" w:rsidRDefault="007A6D95" w:rsidP="007A6D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C26007"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="00C26007" w:rsidRPr="00815203">
        <w:rPr>
          <w:rFonts w:ascii="Times New Roman" w:eastAsia="Times New Roman" w:hAnsi="Times New Roman" w:cs="Times New Roman"/>
          <w:sz w:val="28"/>
        </w:rPr>
        <w:t>.</w:t>
      </w: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75B" w:rsidRPr="00F36614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    </w:t>
      </w:r>
      <w:r w:rsidR="00C61E4F"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Оксана БЕРЕЗА</w:t>
      </w: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F4BD3" w:rsidRDefault="008F4BD3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F4BD3" w:rsidRDefault="008F4BD3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Default="001F318A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ЗАТВЕРДЖЕНО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рішенням сесії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E116FE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5E5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5D0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Pr="00815203" w:rsidRDefault="001F318A" w:rsidP="001F318A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815203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815203">
        <w:rPr>
          <w:rFonts w:ascii="Times New Roman" w:eastAsia="Calibri" w:hAnsi="Times New Roman" w:cs="Times New Roman"/>
          <w:b/>
          <w:lang w:eastAsia="en-US"/>
        </w:rPr>
        <w:br/>
      </w:r>
      <w:r w:rsidRPr="00815203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Белзька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міська рада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Виконавчий комітет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815203">
        <w:rPr>
          <w:rFonts w:ascii="Times New Roman" w:eastAsia="Times New Roman" w:hAnsi="Times New Roman" w:cs="Times New Roman"/>
          <w:sz w:val="24"/>
          <w:lang w:eastAsia="en-US"/>
        </w:rPr>
        <w:t xml:space="preserve">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Учасники програми:  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Термін реалізації програми 2023 р.</w:t>
      </w:r>
    </w:p>
    <w:p w:rsidR="001F318A" w:rsidRPr="00815203" w:rsidRDefault="001F318A" w:rsidP="001F31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1F318A" w:rsidRPr="00815203" w:rsidRDefault="001F318A" w:rsidP="001F31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1F318A" w:rsidRPr="00863581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Загальний обсяг фінансових ресурсів, необхідних для реалізації програми, </w:t>
      </w:r>
      <w:proofErr w:type="spellStart"/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  <w:proofErr w:type="spellEnd"/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всього </w:t>
      </w:r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4 060 868</w:t>
      </w:r>
    </w:p>
    <w:p w:rsidR="001F318A" w:rsidRPr="00863581" w:rsidRDefault="001F318A" w:rsidP="001F318A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1F318A" w:rsidRPr="00863581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    </w:t>
      </w:r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4 060</w:t>
      </w:r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868</w:t>
      </w:r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63581" w:rsidRPr="00863581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  <w:proofErr w:type="spellEnd"/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1F318A" w:rsidRPr="00815203" w:rsidRDefault="001F318A" w:rsidP="001F318A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="00E116FE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863581" w:rsidRPr="00A6591D" w:rsidRDefault="00863581" w:rsidP="00863581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</w:rPr>
        <w:t>Відповідальний  виконавець програми</w:t>
      </w:r>
    </w:p>
    <w:p w:rsidR="00E846F7" w:rsidRPr="00A6591D" w:rsidRDefault="00E846F7" w:rsidP="00E846F7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D70FC" w:rsidRPr="00815203" w:rsidRDefault="00E846F7" w:rsidP="00E846F7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591D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Оксана ЯРЕМЧУК</w:t>
      </w:r>
    </w:p>
    <w:p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7A6D95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1199 від 31.10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1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та благоустрою </w:t>
      </w:r>
      <w:proofErr w:type="spellStart"/>
      <w:r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на 2023 рік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15203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15203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>г</w:t>
      </w:r>
      <w:r w:rsidRPr="00815203">
        <w:rPr>
          <w:rFonts w:ascii="Times New Roman" w:eastAsia="Calibri" w:hAnsi="Times New Roman" w:cs="Times New Roman"/>
          <w:lang w:eastAsia="en-US"/>
        </w:rPr>
        <w:t>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1F318A" w:rsidRPr="00815203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863581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Pr="00815203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Pr="00863581" w:rsidRDefault="0086358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35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4 060 868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Default="00863581">
            <w:r w:rsidRPr="00D735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4 060 868</w:t>
            </w:r>
          </w:p>
        </w:tc>
      </w:tr>
      <w:tr w:rsidR="00863581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Pr="00815203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Pr="00863581" w:rsidRDefault="0086358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635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4 060 868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81" w:rsidRPr="005E5D01" w:rsidRDefault="00863581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81" w:rsidRDefault="00863581">
            <w:r w:rsidRPr="00D735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4 060 868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863581" w:rsidRPr="00A6591D" w:rsidRDefault="001F318A" w:rsidP="00863581">
      <w:pPr>
        <w:ind w:left="255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3581" w:rsidRPr="00A6591D">
        <w:rPr>
          <w:rFonts w:ascii="Times New Roman" w:eastAsia="Calibri" w:hAnsi="Times New Roman" w:cs="Times New Roman"/>
          <w:b/>
          <w:sz w:val="28"/>
          <w:szCs w:val="28"/>
        </w:rPr>
        <w:t>Відповідальний  виконавець програми</w:t>
      </w:r>
    </w:p>
    <w:p w:rsidR="00E846F7" w:rsidRPr="00A6591D" w:rsidRDefault="00E846F7" w:rsidP="00E846F7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Default="00E846F7" w:rsidP="00E846F7">
      <w:pPr>
        <w:pStyle w:val="a3"/>
        <w:ind w:left="2694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6591D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Оксана ЯРЕМЧУК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CA3275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CA3275" w:rsidRPr="00815203" w:rsidRDefault="007A6D9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1199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32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31.10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.2023р.</w:t>
      </w:r>
    </w:p>
    <w:p w:rsidR="00BA7B57" w:rsidRPr="00815203" w:rsidRDefault="00BA7B57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p w:rsidR="007D70FC" w:rsidRPr="00815203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A86557" w:rsidRPr="00815203" w:rsidTr="00DC69FE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:rsidTr="00DC69FE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вулично-дорожньої мережі, парків, скверів, площ.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236D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</w:t>
            </w:r>
            <w:r w:rsidR="003F357E" w:rsidRPr="002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</w:t>
            </w:r>
            <w:r w:rsidR="00E679B0" w:rsidRPr="002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3F357E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80616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иготовлення кошторисної документації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поточного ремонту дорожнього покриття вулиць населених пунктів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Механізоване планування ґрунтових та гравійних доріг, планування узбіч, укосів насипів та виїмок доріг без підсипання з прибиран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ням невеликих зсувів та обвалів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Своєчасне очищення вулиць та 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</w:t>
            </w:r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 в </w:t>
            </w:r>
            <w:proofErr w:type="spellStart"/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т.ч.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придбання</w:t>
            </w:r>
            <w:proofErr w:type="spellEnd"/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пального та ножів для грейдера, оплата послуг по реєстрації грейдера</w:t>
            </w:r>
            <w:r w:rsid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придбання полісу страхування, аптечки, вогнегасника, мастила для грейдер 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43180" w:rsidRPr="00494354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136 </w:t>
            </w:r>
            <w:r w:rsidR="003F357E"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6557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Pr="00600108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339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закупівля та висадження дерев, кущів,квітів,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:rsidR="00A86557" w:rsidRPr="00600108" w:rsidRDefault="000F78FD" w:rsidP="00236D57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</w:t>
            </w:r>
            <w:r w:rsid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ків, малих архітектурних споруд, </w:t>
            </w:r>
            <w:r w:rsidR="00236D57" w:rsidRPr="00C55D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придбання та встановлення флагштоків.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C55D81"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43180"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E679B0" w:rsidRPr="00C55D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6557" w:rsidRPr="00600108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:rsidTr="00DC69FE">
        <w:trPr>
          <w:trHeight w:val="18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:rsidTr="00DC69FE">
        <w:trPr>
          <w:trHeight w:val="19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плафонів,траверс,кронштейнів, ізоляторів, хомутів.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:rsidTr="00DC69FE">
        <w:trPr>
          <w:trHeight w:val="168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236D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1837BB" w:rsidRPr="00680616" w:rsidTr="001837BB">
        <w:trPr>
          <w:trHeight w:val="637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680616" w:rsidRDefault="001F318A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494354" w:rsidRDefault="001F318A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Завдання 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утримання зовнішнього протипожежного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Ремонт та придбання гідрантів пожежних, підставок під гідранти, фланців, головок з’єднувальних та інших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BB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494354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 w:rsidR="00BB430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AD2356" w:rsidP="00AD235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рівня пожежної безпеки</w:t>
            </w:r>
          </w:p>
        </w:tc>
      </w:tr>
      <w:tr w:rsidR="00236D57" w:rsidRPr="00680616" w:rsidTr="00350563">
        <w:trPr>
          <w:trHeight w:val="63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6D57" w:rsidRDefault="00236D57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6D57" w:rsidRDefault="00236D57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Завдання 8</w:t>
            </w:r>
          </w:p>
          <w:p w:rsidR="00236D57" w:rsidRDefault="00236D57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Поточний ремонт 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Поточний ремонт вуличного освітлення по вул. Липнева, вул. Василя Стуса та вул.</w:t>
            </w:r>
          </w:p>
          <w:p w:rsidR="00236D57" w:rsidRDefault="00236D57" w:rsidP="00674418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Листопадового Чину в с. </w:t>
            </w:r>
            <w:proofErr w:type="spellStart"/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Ванів</w:t>
            </w:r>
            <w:proofErr w:type="spellEnd"/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Червоноградського району Львівської області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D57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Pr="00600108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Pr="00680616" w:rsidRDefault="00236D57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199 461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>
            <w:r w:rsidRPr="001B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236D57" w:rsidRPr="00680616" w:rsidTr="00350563">
        <w:trPr>
          <w:trHeight w:val="637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6D57" w:rsidRDefault="00236D57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6D57" w:rsidRDefault="00236D57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2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Поточний ремонт вуличного освітлення по вул. Польова та вул. Шахтарська в с.</w:t>
            </w:r>
          </w:p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Глухів Червоноградського району Львівської області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D57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Pr="00600108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Default="00236D57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198 735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>
            <w:r w:rsidRPr="001B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236D57" w:rsidRPr="00680616" w:rsidTr="00350563">
        <w:trPr>
          <w:trHeight w:val="63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3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Поточний ремонт вуличного освітлення по вул. Пилипа Орлика в с. Низи</w:t>
            </w:r>
          </w:p>
          <w:p w:rsidR="00236D57" w:rsidRPr="00236D57" w:rsidRDefault="00236D57" w:rsidP="00674418">
            <w:pPr>
              <w:keepLines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6D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Червоноградського району Львівської області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D57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Pr="00600108" w:rsidRDefault="00236D57" w:rsidP="0040470A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D57" w:rsidRDefault="00236D57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198 672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D57" w:rsidRDefault="00236D57">
            <w:r w:rsidRPr="001B1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E01E8F" w:rsidRPr="00680616" w:rsidTr="00DC69FE">
        <w:trPr>
          <w:trHeight w:val="551"/>
        </w:trPr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8F" w:rsidRPr="00680616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863581" w:rsidP="0003104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4 060 868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E01E8F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70FC" w:rsidRPr="00680616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0F78FD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581" w:rsidRPr="00A6591D" w:rsidRDefault="00863581" w:rsidP="00863581">
      <w:pPr>
        <w:ind w:left="467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6591D">
        <w:rPr>
          <w:rFonts w:ascii="Times New Roman" w:eastAsia="Calibri" w:hAnsi="Times New Roman" w:cs="Times New Roman"/>
          <w:b/>
          <w:sz w:val="28"/>
          <w:szCs w:val="28"/>
        </w:rPr>
        <w:t>Відповідальний  виконавець програми</w:t>
      </w:r>
    </w:p>
    <w:p w:rsidR="00E846F7" w:rsidRPr="00A6591D" w:rsidRDefault="00E846F7" w:rsidP="00E846F7">
      <w:pPr>
        <w:ind w:left="48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A6591D">
        <w:rPr>
          <w:rFonts w:ascii="Times New Roman" w:eastAsia="Times New Roman" w:hAnsi="Times New Roman" w:cs="Times New Roman"/>
          <w:sz w:val="24"/>
        </w:rPr>
        <w:t xml:space="preserve">КП </w:t>
      </w:r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A659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D70FC" w:rsidRPr="00815203" w:rsidRDefault="00E846F7" w:rsidP="00E846F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591D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В.о.директора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Оксана ЯРЕМЧУК</w:t>
      </w:r>
      <w:bookmarkEnd w:id="0"/>
    </w:p>
    <w:sectPr w:rsidR="007D70FC" w:rsidRPr="00815203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8C" w:rsidRDefault="003F3C8C" w:rsidP="00B35A8F">
      <w:pPr>
        <w:spacing w:after="0" w:line="240" w:lineRule="auto"/>
      </w:pPr>
      <w:r>
        <w:separator/>
      </w:r>
    </w:p>
  </w:endnote>
  <w:endnote w:type="continuationSeparator" w:id="0">
    <w:p w:rsidR="003F3C8C" w:rsidRDefault="003F3C8C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8C" w:rsidRDefault="003F3C8C" w:rsidP="00B35A8F">
      <w:pPr>
        <w:spacing w:after="0" w:line="240" w:lineRule="auto"/>
      </w:pPr>
      <w:r>
        <w:separator/>
      </w:r>
    </w:p>
  </w:footnote>
  <w:footnote w:type="continuationSeparator" w:id="0">
    <w:p w:rsidR="003F3C8C" w:rsidRDefault="003F3C8C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02415"/>
    <w:rsid w:val="000149BF"/>
    <w:rsid w:val="0003104C"/>
    <w:rsid w:val="0003737F"/>
    <w:rsid w:val="00061DEB"/>
    <w:rsid w:val="00072732"/>
    <w:rsid w:val="000A7747"/>
    <w:rsid w:val="000B6692"/>
    <w:rsid w:val="000E2226"/>
    <w:rsid w:val="000E48EC"/>
    <w:rsid w:val="000F3CBF"/>
    <w:rsid w:val="000F78FD"/>
    <w:rsid w:val="0010072C"/>
    <w:rsid w:val="001264EC"/>
    <w:rsid w:val="00135638"/>
    <w:rsid w:val="001837BB"/>
    <w:rsid w:val="001940E7"/>
    <w:rsid w:val="001A6E6C"/>
    <w:rsid w:val="001C4606"/>
    <w:rsid w:val="001F318A"/>
    <w:rsid w:val="00213B4D"/>
    <w:rsid w:val="0022599E"/>
    <w:rsid w:val="002321AD"/>
    <w:rsid w:val="00236D57"/>
    <w:rsid w:val="0023715F"/>
    <w:rsid w:val="00243180"/>
    <w:rsid w:val="00253478"/>
    <w:rsid w:val="002744D2"/>
    <w:rsid w:val="002761C6"/>
    <w:rsid w:val="00280444"/>
    <w:rsid w:val="00280918"/>
    <w:rsid w:val="002D74FE"/>
    <w:rsid w:val="00326E40"/>
    <w:rsid w:val="00342C18"/>
    <w:rsid w:val="00376842"/>
    <w:rsid w:val="00380072"/>
    <w:rsid w:val="00384066"/>
    <w:rsid w:val="003840B4"/>
    <w:rsid w:val="00393003"/>
    <w:rsid w:val="003A37CD"/>
    <w:rsid w:val="003A5728"/>
    <w:rsid w:val="003F357E"/>
    <w:rsid w:val="003F3C8C"/>
    <w:rsid w:val="00400683"/>
    <w:rsid w:val="00410B6E"/>
    <w:rsid w:val="004207E4"/>
    <w:rsid w:val="004402D3"/>
    <w:rsid w:val="004408FA"/>
    <w:rsid w:val="00440E22"/>
    <w:rsid w:val="004412E8"/>
    <w:rsid w:val="00446BF2"/>
    <w:rsid w:val="004751FD"/>
    <w:rsid w:val="00494354"/>
    <w:rsid w:val="004A1597"/>
    <w:rsid w:val="004A60D1"/>
    <w:rsid w:val="004B336C"/>
    <w:rsid w:val="004C15CC"/>
    <w:rsid w:val="004C210E"/>
    <w:rsid w:val="004D4937"/>
    <w:rsid w:val="004E257C"/>
    <w:rsid w:val="004E3DBE"/>
    <w:rsid w:val="005265C9"/>
    <w:rsid w:val="00543A1D"/>
    <w:rsid w:val="00547EE4"/>
    <w:rsid w:val="00551134"/>
    <w:rsid w:val="00561D8D"/>
    <w:rsid w:val="00564474"/>
    <w:rsid w:val="00566119"/>
    <w:rsid w:val="005840D9"/>
    <w:rsid w:val="005A57CD"/>
    <w:rsid w:val="005B15A1"/>
    <w:rsid w:val="005B57BB"/>
    <w:rsid w:val="005D5BE1"/>
    <w:rsid w:val="005E5D01"/>
    <w:rsid w:val="005F73B0"/>
    <w:rsid w:val="00600108"/>
    <w:rsid w:val="00604E27"/>
    <w:rsid w:val="0060521B"/>
    <w:rsid w:val="00605473"/>
    <w:rsid w:val="0061787F"/>
    <w:rsid w:val="00665A26"/>
    <w:rsid w:val="00674418"/>
    <w:rsid w:val="00680616"/>
    <w:rsid w:val="00683DD6"/>
    <w:rsid w:val="006973A7"/>
    <w:rsid w:val="006B4473"/>
    <w:rsid w:val="007122F1"/>
    <w:rsid w:val="00714971"/>
    <w:rsid w:val="00726431"/>
    <w:rsid w:val="0073389F"/>
    <w:rsid w:val="00743E49"/>
    <w:rsid w:val="00773E60"/>
    <w:rsid w:val="007817A0"/>
    <w:rsid w:val="0079107E"/>
    <w:rsid w:val="00791EA0"/>
    <w:rsid w:val="00797BAF"/>
    <w:rsid w:val="007A6D95"/>
    <w:rsid w:val="007C533B"/>
    <w:rsid w:val="007C5F3B"/>
    <w:rsid w:val="007D376D"/>
    <w:rsid w:val="007D70FC"/>
    <w:rsid w:val="007E41C4"/>
    <w:rsid w:val="00812380"/>
    <w:rsid w:val="00815203"/>
    <w:rsid w:val="00832167"/>
    <w:rsid w:val="00834B3D"/>
    <w:rsid w:val="00846336"/>
    <w:rsid w:val="008511F4"/>
    <w:rsid w:val="00863581"/>
    <w:rsid w:val="008B153F"/>
    <w:rsid w:val="008B52A8"/>
    <w:rsid w:val="008F4BD3"/>
    <w:rsid w:val="008F4DAF"/>
    <w:rsid w:val="00902E5E"/>
    <w:rsid w:val="00905E1C"/>
    <w:rsid w:val="009310D5"/>
    <w:rsid w:val="0093175B"/>
    <w:rsid w:val="00934F89"/>
    <w:rsid w:val="0095442A"/>
    <w:rsid w:val="00974B03"/>
    <w:rsid w:val="00991470"/>
    <w:rsid w:val="009B0375"/>
    <w:rsid w:val="009C66E2"/>
    <w:rsid w:val="009D0313"/>
    <w:rsid w:val="00A03F8B"/>
    <w:rsid w:val="00A151A5"/>
    <w:rsid w:val="00A176CA"/>
    <w:rsid w:val="00A40C20"/>
    <w:rsid w:val="00A511BC"/>
    <w:rsid w:val="00A6238B"/>
    <w:rsid w:val="00A86557"/>
    <w:rsid w:val="00A915AC"/>
    <w:rsid w:val="00A97803"/>
    <w:rsid w:val="00AB6CFB"/>
    <w:rsid w:val="00AC0F97"/>
    <w:rsid w:val="00AD2356"/>
    <w:rsid w:val="00AF4C83"/>
    <w:rsid w:val="00B130C7"/>
    <w:rsid w:val="00B35A8F"/>
    <w:rsid w:val="00B441EB"/>
    <w:rsid w:val="00B728A1"/>
    <w:rsid w:val="00B837B6"/>
    <w:rsid w:val="00B93753"/>
    <w:rsid w:val="00BA0CC4"/>
    <w:rsid w:val="00BA7B57"/>
    <w:rsid w:val="00BB4304"/>
    <w:rsid w:val="00BB4684"/>
    <w:rsid w:val="00BD6EE1"/>
    <w:rsid w:val="00C03A78"/>
    <w:rsid w:val="00C26007"/>
    <w:rsid w:val="00C44ECA"/>
    <w:rsid w:val="00C4541D"/>
    <w:rsid w:val="00C55D81"/>
    <w:rsid w:val="00C61E4F"/>
    <w:rsid w:val="00C75DF9"/>
    <w:rsid w:val="00C844FE"/>
    <w:rsid w:val="00C91258"/>
    <w:rsid w:val="00CA3275"/>
    <w:rsid w:val="00CD2828"/>
    <w:rsid w:val="00CD3315"/>
    <w:rsid w:val="00CE4696"/>
    <w:rsid w:val="00CF7E62"/>
    <w:rsid w:val="00D171F7"/>
    <w:rsid w:val="00D2175F"/>
    <w:rsid w:val="00D25036"/>
    <w:rsid w:val="00D30B39"/>
    <w:rsid w:val="00D607D7"/>
    <w:rsid w:val="00D72F65"/>
    <w:rsid w:val="00D838F0"/>
    <w:rsid w:val="00D9145E"/>
    <w:rsid w:val="00D958A0"/>
    <w:rsid w:val="00DC69FE"/>
    <w:rsid w:val="00DC79F2"/>
    <w:rsid w:val="00E01E8F"/>
    <w:rsid w:val="00E03DB5"/>
    <w:rsid w:val="00E116FE"/>
    <w:rsid w:val="00E23085"/>
    <w:rsid w:val="00E3341E"/>
    <w:rsid w:val="00E33534"/>
    <w:rsid w:val="00E4599E"/>
    <w:rsid w:val="00E679B0"/>
    <w:rsid w:val="00E70E8B"/>
    <w:rsid w:val="00E7224D"/>
    <w:rsid w:val="00E72B35"/>
    <w:rsid w:val="00E75CA5"/>
    <w:rsid w:val="00E846F7"/>
    <w:rsid w:val="00EA296C"/>
    <w:rsid w:val="00EA73F7"/>
    <w:rsid w:val="00F00796"/>
    <w:rsid w:val="00F11899"/>
    <w:rsid w:val="00F25B29"/>
    <w:rsid w:val="00F3284C"/>
    <w:rsid w:val="00F36614"/>
    <w:rsid w:val="00F556FC"/>
    <w:rsid w:val="00F60700"/>
    <w:rsid w:val="00F72D2C"/>
    <w:rsid w:val="00F94DA2"/>
    <w:rsid w:val="00FA6B84"/>
    <w:rsid w:val="00FD66EE"/>
    <w:rsid w:val="00FE096D"/>
    <w:rsid w:val="00FE7340"/>
    <w:rsid w:val="00FF5AC7"/>
    <w:rsid w:val="00FF741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8635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86358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8635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8635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2156-E63C-444F-90A6-F8807693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5154</Words>
  <Characters>2939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3</cp:revision>
  <cp:lastPrinted>2023-11-02T08:15:00Z</cp:lastPrinted>
  <dcterms:created xsi:type="dcterms:W3CDTF">2023-11-22T20:24:00Z</dcterms:created>
  <dcterms:modified xsi:type="dcterms:W3CDTF">2023-11-22T20:32:00Z</dcterms:modified>
</cp:coreProperties>
</file>